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20" w:line="240" w:lineRule="exact"/>
        <w:ind w:left="709" w:righ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after="20" w:line="240" w:lineRule="exact"/>
        <w:ind w:left="709" w:righ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к проекту закона Алтайского края «О внесении изменений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br w:type="textWrapping" w:clear="all"/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закон Алтайского края «О материнском (семейном) капитале в Алтайском крае»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35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35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Настоящий проект закона подготовлен в целях совершенствования порядка распоряжения материнским капиталом в Алтайском крае.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Проектом закона предлагается средства, оставшиеся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после распоряжения региональным материнским капиталом по направлениям,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предусмотренным законом Алтайского края от 31.08.2011 №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100-ЗС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br/>
        <w:t xml:space="preserve">«О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материнском (семейном) капитале в Алтайском крае», предоставлять в виде единовременной выплаты. Размер такой выплаты, порядок и условия ее предоставления устанавливаются Правительством Алтайско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го края.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настоящее время на счетах более 1400 жителей края находятся остатки средств регионального материнского капитала, не превышающие тысячи рублей. Принятие законопроекта позволит гражданам получить эти средства без указания целей использования, искл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ючит дальнейшее администрирование этих средств.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Проектом закона также предлагается продлить период предоставления права на материнский капитал в Алтайском крае при рождении (усыновлении) третьего ребенка или последующих детей до 31.12.2030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  <w:lang w:eastAsia="ru-RU"/>
        </w:rPr>
        <w:t xml:space="preserve">в связи с поручением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Президента Российской Федерации, данным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Послании Федеральному Собранию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Российской Федерации от 29.02.2024, о продлении на соответствующий срок действия норм Федерального закона от 29.12.2006 № 256-ФЗ «О дополнительных мерах государственной подде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ржки семей, имеющих детей».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Расходы на предоставление регионального материнского капитала являются расходными обязательствами Алтайского края и имеют целевой характер. Средства предусматриваются в законе о краевом бюджете на очередной финансовый год и на п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лановый период. В связи с этим принятие проекта закона не повлечет дополнительных расходов из краевого бюджета.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widowControl w:val="off"/>
        <w:spacing w:after="0" w:line="235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after="0" w:line="235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after="0" w:line="235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trHeight w:val="1134"/>
        </w:trPr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/>
            <w:textDirection w:val="lrTb"/>
          </w:tcPr>
          <w:p>
            <w:pPr>
              <w:widowControl w:val="off"/>
              <w:spacing w:after="0" w:line="238" w:lineRule="exact"/>
              <w:ind w:right="-1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/>
            <w:textDirection w:val="lrTb"/>
          </w:tcPr>
          <w:p>
            <w:pPr>
              <w:widowControl w:val="off"/>
              <w:suppressLineNumbers w:val="0"/>
              <w:spacing w:after="0" w:afterAutospacing="0" w:line="240" w:lineRule="exact"/>
              <w:ind w:left="510" w:right="0"/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Председатель постоянного </w:t>
              <w:br/>
              <w:t xml:space="preserve">комитета Алтайского краевого Законодательного Собрания по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социальной защите и занятости н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аселения</w:t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none"/>
              </w:rPr>
            </w:r>
          </w:p>
          <w:p>
            <w:pPr>
              <w:widowControl w:val="off"/>
              <w:suppressLineNumbers w:val="0"/>
              <w:spacing w:after="0" w:afterAutospacing="0" w:line="240" w:lineRule="exact"/>
              <w:ind w:left="510" w:right="-17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rPr/>
        <w:tblPrEx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/>
            <w:textDirection w:val="lrTb"/>
          </w:tcPr>
          <w:p>
            <w:pPr>
              <w:widowControl w:val="off"/>
              <w:spacing w:after="40" w:line="240" w:lineRule="auto"/>
              <w:ind w:right="-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_________________В.П.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/>
            <w:textDirection w:val="lrTb"/>
          </w:tcPr>
          <w:p>
            <w:pPr>
              <w:widowControl w:val="off"/>
              <w:spacing w:after="40" w:line="240" w:lineRule="auto"/>
              <w:ind w:left="51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w:t xml:space="preserve">________________И.В. Солнцева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8"/>
      <w:footnotePr/>
      <w:endnotePr/>
      <w:type w:val="nextPage"/>
      <w:pgSz w:w="11907" w:h="16840" w:orient="portrait"/>
      <w:pgMar w:top="1134" w:right="851" w:bottom="1134" w:left="1701" w:header="425" w:footer="73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Title Char"/>
    <w:basedOn w:val="677"/>
    <w:link w:val="700"/>
    <w:uiPriority w:val="10"/>
    <w:rPr>
      <w:sz w:val="48"/>
      <w:szCs w:val="48"/>
    </w:rPr>
  </w:style>
  <w:style w:type="character" w:styleId="671">
    <w:name w:val="Subtitle Char"/>
    <w:basedOn w:val="677"/>
    <w:link w:val="702"/>
    <w:uiPriority w:val="11"/>
    <w:rPr>
      <w:sz w:val="24"/>
      <w:szCs w:val="24"/>
    </w:rPr>
  </w:style>
  <w:style w:type="character" w:styleId="672">
    <w:name w:val="Quote Char"/>
    <w:link w:val="704"/>
    <w:uiPriority w:val="29"/>
    <w:rPr>
      <w:i/>
    </w:rPr>
  </w:style>
  <w:style w:type="character" w:styleId="673">
    <w:name w:val="Intense Quote Char"/>
    <w:link w:val="706"/>
    <w:uiPriority w:val="30"/>
    <w:rPr>
      <w:i/>
    </w:rPr>
  </w:style>
  <w:style w:type="character" w:styleId="674">
    <w:name w:val="Footnote Text Char"/>
    <w:link w:val="841"/>
    <w:uiPriority w:val="99"/>
    <w:rPr>
      <w:sz w:val="18"/>
    </w:rPr>
  </w:style>
  <w:style w:type="character" w:styleId="675">
    <w:name w:val="Endnote Text Char"/>
    <w:link w:val="844"/>
    <w:uiPriority w:val="99"/>
    <w:rPr>
      <w:sz w:val="20"/>
    </w:rPr>
  </w:style>
  <w:style w:type="paragraph" w:styleId="676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Heading 1"/>
    <w:basedOn w:val="676"/>
    <w:next w:val="676"/>
    <w:link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 w:customStyle="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 w:customStyle="1">
    <w:name w:val="Heading 2"/>
    <w:basedOn w:val="676"/>
    <w:next w:val="676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 w:customStyle="1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 w:customStyle="1">
    <w:name w:val="Heading 3"/>
    <w:basedOn w:val="676"/>
    <w:next w:val="676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 w:customStyle="1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 w:customStyle="1">
    <w:name w:val="Heading 4"/>
    <w:basedOn w:val="676"/>
    <w:next w:val="676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Heading 5"/>
    <w:basedOn w:val="676"/>
    <w:next w:val="676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 w:customStyle="1">
    <w:name w:val="Heading 6"/>
    <w:basedOn w:val="676"/>
    <w:next w:val="676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91" w:customStyle="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 w:customStyle="1">
    <w:name w:val="Heading 7"/>
    <w:basedOn w:val="676"/>
    <w:next w:val="676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93" w:customStyle="1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 w:customStyle="1">
    <w:name w:val="Heading 8"/>
    <w:basedOn w:val="676"/>
    <w:next w:val="676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95" w:customStyle="1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 w:customStyle="1">
    <w:name w:val="Heading 9"/>
    <w:basedOn w:val="676"/>
    <w:next w:val="676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76"/>
    <w:uiPriority w:val="34"/>
    <w:qFormat/>
    <w:pPr>
      <w:ind w:left="720"/>
      <w:contextualSpacing/>
    </w:pPr>
  </w:style>
  <w:style w:type="paragraph" w:styleId="699">
    <w:name w:val="No Spacing"/>
    <w:uiPriority w:val="1"/>
    <w:qFormat/>
  </w:style>
  <w:style w:type="paragraph" w:styleId="700">
    <w:name w:val="Title"/>
    <w:basedOn w:val="676"/>
    <w:next w:val="676"/>
    <w:link w:val="70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basedOn w:val="676"/>
    <w:next w:val="676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76"/>
    <w:next w:val="676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6"/>
    <w:next w:val="676"/>
    <w:link w:val="7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 w:customStyle="1">
    <w:name w:val="Header"/>
    <w:basedOn w:val="676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 w:customStyle="1">
    <w:name w:val="Header Char"/>
    <w:link w:val="708"/>
    <w:uiPriority w:val="99"/>
  </w:style>
  <w:style w:type="paragraph" w:styleId="710" w:customStyle="1">
    <w:name w:val="Footer"/>
    <w:basedOn w:val="676"/>
    <w:link w:val="71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1" w:customStyle="1">
    <w:name w:val="Footer Char"/>
    <w:link w:val="710"/>
    <w:uiPriority w:val="99"/>
  </w:style>
  <w:style w:type="paragraph" w:styleId="712" w:customStyle="1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 w:customStyle="1">
    <w:name w:val="Caption Char"/>
    <w:link w:val="710"/>
    <w:uiPriority w:val="99"/>
  </w:style>
  <w:style w:type="table" w:styleId="714">
    <w:name w:val="Table Grid"/>
    <w:basedOn w:val="678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5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5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7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676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76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76"/>
    <w:next w:val="676"/>
    <w:uiPriority w:val="39"/>
    <w:unhideWhenUsed/>
    <w:pPr>
      <w:spacing w:after="57"/>
    </w:pPr>
  </w:style>
  <w:style w:type="paragraph" w:styleId="848">
    <w:name w:val="toc 2"/>
    <w:basedOn w:val="676"/>
    <w:next w:val="676"/>
    <w:uiPriority w:val="39"/>
    <w:unhideWhenUsed/>
    <w:pPr>
      <w:spacing w:after="57"/>
      <w:ind w:left="283"/>
    </w:pPr>
  </w:style>
  <w:style w:type="paragraph" w:styleId="849">
    <w:name w:val="toc 3"/>
    <w:basedOn w:val="676"/>
    <w:next w:val="676"/>
    <w:uiPriority w:val="39"/>
    <w:unhideWhenUsed/>
    <w:pPr>
      <w:spacing w:after="57"/>
      <w:ind w:left="567"/>
    </w:pPr>
  </w:style>
  <w:style w:type="paragraph" w:styleId="850">
    <w:name w:val="toc 4"/>
    <w:basedOn w:val="676"/>
    <w:next w:val="676"/>
    <w:uiPriority w:val="39"/>
    <w:unhideWhenUsed/>
    <w:pPr>
      <w:spacing w:after="57"/>
      <w:ind w:left="850"/>
    </w:pPr>
  </w:style>
  <w:style w:type="paragraph" w:styleId="851">
    <w:name w:val="toc 5"/>
    <w:basedOn w:val="676"/>
    <w:next w:val="676"/>
    <w:uiPriority w:val="39"/>
    <w:unhideWhenUsed/>
    <w:pPr>
      <w:spacing w:after="57"/>
      <w:ind w:left="1134"/>
    </w:pPr>
  </w:style>
  <w:style w:type="paragraph" w:styleId="852">
    <w:name w:val="toc 6"/>
    <w:basedOn w:val="676"/>
    <w:next w:val="676"/>
    <w:uiPriority w:val="39"/>
    <w:unhideWhenUsed/>
    <w:pPr>
      <w:spacing w:after="57"/>
      <w:ind w:left="1417"/>
    </w:pPr>
  </w:style>
  <w:style w:type="paragraph" w:styleId="853">
    <w:name w:val="toc 7"/>
    <w:basedOn w:val="676"/>
    <w:next w:val="676"/>
    <w:uiPriority w:val="39"/>
    <w:unhideWhenUsed/>
    <w:pPr>
      <w:spacing w:after="57"/>
      <w:ind w:left="1701"/>
    </w:pPr>
  </w:style>
  <w:style w:type="paragraph" w:styleId="854">
    <w:name w:val="toc 8"/>
    <w:basedOn w:val="676"/>
    <w:next w:val="676"/>
    <w:uiPriority w:val="39"/>
    <w:unhideWhenUsed/>
    <w:pPr>
      <w:spacing w:after="57"/>
      <w:ind w:left="1984"/>
    </w:pPr>
  </w:style>
  <w:style w:type="paragraph" w:styleId="855">
    <w:name w:val="toc 9"/>
    <w:basedOn w:val="676"/>
    <w:next w:val="676"/>
    <w:uiPriority w:val="39"/>
    <w:unhideWhenUsed/>
    <w:pPr>
      <w:spacing w:after="57"/>
      <w:ind w:left="2268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76"/>
    <w:next w:val="676"/>
    <w:uiPriority w:val="99"/>
    <w:unhideWhenUsed/>
    <w:pPr>
      <w:spacing w:after="0"/>
    </w:pPr>
  </w:style>
  <w:style w:type="paragraph" w:styleId="858" w:customStyle="1">
    <w:name w:val="+заголовок"/>
    <w:basedOn w:val="676"/>
    <w:qFormat/>
    <w:pPr>
      <w:spacing w:after="0" w:line="240" w:lineRule="exact"/>
      <w:ind w:left="709" w:right="709"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859" w:customStyle="1">
    <w:name w:val="+текст"/>
    <w:basedOn w:val="676"/>
    <w:qFormat/>
    <w:pPr>
      <w:widowControl w:val="off"/>
      <w:spacing w:after="0" w:line="240" w:lineRule="auto"/>
      <w:ind w:firstLine="709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860" w:customStyle="1">
    <w:name w:val="docdata;docy;v5;20233;bqiaagaaeyqcaaagiaiaaanntaaabxvmaaaaaaaaaaaaaaaaaaaaaaaaaaaaaaaaaaaaaaaaaaaaaaaaaaaaaaaaaaaaaaaaaaaaaaaaaaaaaaaaaaaaaaaaaaaaaaaaaaaaaaaaaaaaaaaaaaaaaaaaaaaaaaaaaaaaaaaaaaaaaaaaaaaaaaaaaaaaaaaaaaaaaaaaaaaaaaaaaaaaaaaaaaaaaaaaaaaaaaa"/>
    <w:basedOn w:val="67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1">
    <w:name w:val="Normal (Web)"/>
    <w:basedOn w:val="67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2">
    <w:name w:val="Header"/>
    <w:basedOn w:val="676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676"/>
    <w:link w:val="86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alloon Text"/>
    <w:basedOn w:val="676"/>
    <w:link w:val="867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67" w:customStyle="1">
    <w:name w:val="Текст выноски Знак"/>
    <w:link w:val="866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PRAVO04</dc:creator>
  <cp:revision>6</cp:revision>
  <dcterms:created xsi:type="dcterms:W3CDTF">2024-11-22T03:49:00Z</dcterms:created>
  <dcterms:modified xsi:type="dcterms:W3CDTF">2024-12-25T06:59:03Z</dcterms:modified>
  <cp:version>1048576</cp:version>
</cp:coreProperties>
</file>